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181F" w:rsidP="000D181F" w:rsidRDefault="000D181F" w14:paraId="5C92ED8A" w14:textId="77777777"/>
    <w:p w:rsidR="009560EB" w:rsidP="000D181F" w:rsidRDefault="009560EB" w14:paraId="1DD47B01" w14:textId="77777777"/>
    <w:p w:rsidRPr="00DA64E0" w:rsidR="000D181F" w:rsidP="00DA64E0" w:rsidRDefault="00DA64E0" w14:paraId="6B6EC5BF" w14:textId="7A727016">
      <w:pPr>
        <w:ind w:left="3544" w:hanging="142"/>
        <w:jc w:val="both"/>
        <w:rPr>
          <w:rFonts w:ascii="Garamond" w:hAnsi="Garamond"/>
          <w:i/>
          <w:iCs/>
        </w:rPr>
      </w:pPr>
      <w:r w:rsidRPr="00DA64E0">
        <w:rPr>
          <w:rFonts w:ascii="Garamond" w:hAnsi="Garamond"/>
        </w:rPr>
        <w:t xml:space="preserve">   </w:t>
      </w:r>
      <w:r w:rsidRPr="00DA64E0" w:rsidR="00AB3506">
        <w:rPr>
          <w:rFonts w:ascii="Garamond" w:hAnsi="Garamond"/>
        </w:rPr>
        <w:t xml:space="preserve">Em atenção ao Pedido de Esclarecimento apresentado </w:t>
      </w:r>
      <w:r w:rsidRPr="00DA64E0" w:rsidR="00AB3506">
        <w:rPr>
          <w:rFonts w:ascii="Garamond" w:hAnsi="Garamond"/>
        </w:rPr>
        <w:t xml:space="preserve">pela empresa </w:t>
      </w:r>
      <w:r w:rsidRPr="00DA64E0" w:rsidR="00AB3506">
        <w:rPr>
          <w:rFonts w:ascii="Garamond" w:hAnsi="Garamond"/>
          <w:b/>
          <w:bCs/>
        </w:rPr>
        <w:t>ELONET</w:t>
      </w:r>
      <w:r w:rsidRPr="00DA64E0" w:rsidR="00AB3506">
        <w:rPr>
          <w:rFonts w:ascii="Garamond" w:hAnsi="Garamond"/>
        </w:rPr>
        <w:t xml:space="preserve"> no certame referente ao Edital nº 90005/2026, cujo objeto </w:t>
      </w:r>
      <w:r w:rsidRPr="00DA64E0">
        <w:rPr>
          <w:rFonts w:ascii="Garamond" w:hAnsi="Garamond"/>
        </w:rPr>
        <w:t xml:space="preserve">é a </w:t>
      </w:r>
      <w:r w:rsidRPr="00DA64E0" w:rsidR="00AB3506">
        <w:rPr>
          <w:rFonts w:ascii="Garamond" w:hAnsi="Garamond"/>
        </w:rPr>
        <w:t>Prestação de serviços de serviços técnicos, com atuação na habilitação/novação de créditos imobiliários vinculados ao SFH com cobertura do FCVS, contemplando as etapas de análise documental, habilitação/novação dos créditos junto ao FCVS, a validação de valores homologados pela administradora do FCVS, a elaboração e envio de recursos e a consultoria e gestão da Carteira do FCVS por 12 meses, a Administração Pública, por meio da unidade responsável, vem prestar os seguintes esclarecimentos</w:t>
      </w:r>
      <w:r w:rsidRPr="00DA64E0" w:rsidR="00AB3506">
        <w:rPr>
          <w:rFonts w:ascii="Garamond" w:hAnsi="Garamond"/>
          <w:i/>
          <w:iCs/>
        </w:rPr>
        <w:t xml:space="preserve">: </w:t>
      </w:r>
    </w:p>
    <w:p w:rsidRPr="00DA64E0" w:rsidR="00AB3506" w:rsidP="000D181F" w:rsidRDefault="00AB3506" w14:paraId="381B6324" w14:textId="77777777">
      <w:pPr>
        <w:rPr>
          <w:rFonts w:ascii="Garamond" w:hAnsi="Garamond"/>
        </w:rPr>
      </w:pPr>
    </w:p>
    <w:p w:rsidR="00AB3506" w:rsidP="000D181F" w:rsidRDefault="009560EB" w14:paraId="468E41B6" w14:textId="4B45A8DA">
      <w:pPr>
        <w:rPr>
          <w:rFonts w:ascii="Garamond" w:hAnsi="Garamond"/>
        </w:rPr>
      </w:pPr>
      <w:r w:rsidRPr="00DA64E0">
        <w:rPr>
          <w:rFonts w:ascii="Garamond" w:hAnsi="Garamond"/>
        </w:rPr>
        <w:t>Refere-se a solicitação de esclarecimento ao PE 9000</w:t>
      </w:r>
      <w:r w:rsidRPr="00DA64E0">
        <w:rPr>
          <w:rFonts w:ascii="Garamond" w:hAnsi="Garamond"/>
        </w:rPr>
        <w:t>5</w:t>
      </w:r>
      <w:r w:rsidRPr="00DA64E0">
        <w:rPr>
          <w:rFonts w:ascii="Garamond" w:hAnsi="Garamond"/>
        </w:rPr>
        <w:t>/2026:</w:t>
      </w:r>
    </w:p>
    <w:p w:rsidRPr="00DA64E0" w:rsidR="00DA64E0" w:rsidP="000D181F" w:rsidRDefault="00DA64E0" w14:paraId="3978E81C" w14:textId="77777777">
      <w:pPr>
        <w:rPr>
          <w:rFonts w:ascii="Garamond" w:hAnsi="Garamond"/>
        </w:rPr>
      </w:pPr>
    </w:p>
    <w:p w:rsidRPr="00DA64E0" w:rsidR="000D181F" w:rsidP="009560EB" w:rsidRDefault="009560EB" w14:paraId="434022DC" w14:textId="090BA910">
      <w:pPr>
        <w:jc w:val="both"/>
        <w:rPr>
          <w:rFonts w:ascii="Garamond" w:hAnsi="Garamond"/>
          <w:b/>
          <w:bCs/>
        </w:rPr>
      </w:pPr>
      <w:r w:rsidRPr="00DA64E0">
        <w:rPr>
          <w:rFonts w:ascii="Garamond" w:hAnsi="Garamond"/>
        </w:rPr>
        <w:t xml:space="preserve">1. </w:t>
      </w:r>
      <w:r w:rsidRPr="00DA64E0" w:rsidR="000D181F">
        <w:rPr>
          <w:rFonts w:ascii="Garamond" w:hAnsi="Garamond"/>
          <w:b/>
          <w:bCs/>
          <w:i/>
          <w:iCs/>
        </w:rPr>
        <w:t>Está correto o entendimento de que, uma vez cumprida pela contratada a meta de habilitação de 382 contratos/mês, conforme previsto no cronograma, o faturamento mensal será devido, ainda que a Centralizadora não realize a homologação dentro do prazo estimado pela Administração?</w:t>
      </w:r>
    </w:p>
    <w:p w:rsidRPr="000D181F" w:rsidR="000D181F" w:rsidP="216B163B" w:rsidRDefault="009560EB" w14:paraId="7C84E174" w14:textId="4B5DBEC3">
      <w:pPr>
        <w:jc w:val="both"/>
        <w:rPr>
          <w:rFonts w:ascii="Garamond" w:hAnsi="Garamond"/>
          <w:noProof w:val="0"/>
          <w:lang w:val="pt-BR"/>
        </w:rPr>
      </w:pPr>
      <w:r w:rsidRPr="216B163B" w:rsidR="009560EB">
        <w:rPr>
          <w:rFonts w:ascii="Garamond" w:hAnsi="Garamond"/>
        </w:rPr>
        <w:t xml:space="preserve">Resposta: </w:t>
      </w:r>
      <w:r w:rsidRPr="216B163B" w:rsidR="000D181F">
        <w:rPr>
          <w:rFonts w:ascii="Garamond" w:hAnsi="Garamond"/>
        </w:rPr>
        <w:t xml:space="preserve"> </w:t>
      </w:r>
      <w:r w:rsidRPr="216B163B" w:rsidR="09616C0B">
        <w:rPr>
          <w:rFonts w:ascii="Garamond" w:hAnsi="Garamond"/>
        </w:rPr>
        <w:t xml:space="preserve">Sim, pelos </w:t>
      </w:r>
      <w:r w:rsidRPr="216B163B" w:rsidR="21001467">
        <w:rPr>
          <w:rFonts w:ascii="Garamond" w:hAnsi="Garamond"/>
        </w:rPr>
        <w:t>seguintes fundamentos</w:t>
      </w:r>
      <w:r w:rsidRPr="216B163B" w:rsidR="09616C0B">
        <w:rPr>
          <w:rFonts w:ascii="Garamond" w:hAnsi="Garamond"/>
        </w:rPr>
        <w:t>:</w:t>
      </w:r>
      <w:r>
        <w:br/>
      </w:r>
      <w:r w:rsidRPr="216B163B" w:rsidR="696F26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</w:t>
      </w:r>
      <w:r w:rsidRPr="216B163B" w:rsidR="696F26AD">
        <w:rPr>
          <w:rFonts w:ascii="Garamond" w:hAnsi="Garamond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 xml:space="preserve"> faturamento da </w:t>
      </w:r>
      <w:r w:rsidRPr="216B163B" w:rsidR="696F26AD">
        <w:rPr>
          <w:rFonts w:ascii="Garamond" w:hAnsi="Garamond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>parcela fixa</w:t>
      </w:r>
      <w:r w:rsidRPr="216B163B" w:rsidR="696F26AD">
        <w:rPr>
          <w:rFonts w:ascii="Garamond" w:hAnsi="Garamond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 xml:space="preserve"> está condicionado ao ateste da execução dos serviços, conforme os critérios estabelecidos no Instrumento de Medição de Resultados (IMR), não estando vinculado à conclusão de etapas cuja execução dependa de agente externo.</w:t>
      </w:r>
    </w:p>
    <w:p w:rsidRPr="000D181F" w:rsidR="000D181F" w:rsidP="216B163B" w:rsidRDefault="009560EB" w14:paraId="49833DF8" w14:textId="5CF89CFE">
      <w:pPr>
        <w:jc w:val="both"/>
        <w:rPr>
          <w:rFonts w:ascii="Garamond" w:hAnsi="Garamond"/>
          <w:noProof w:val="0"/>
          <w:lang w:val="pt-BR"/>
        </w:rPr>
      </w:pPr>
      <w:r w:rsidRPr="216B163B" w:rsidR="696F26AD">
        <w:rPr>
          <w:rFonts w:ascii="Garamond" w:hAnsi="Garamond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>A meta de 382 (trezentos e oitenta e dois) processos mensais refere-se à Atividade 1 (Análise Documental), considerando-se cumprida a obrigação da contratada com a realização da análise e o envio dos processos para a etapa subsequente de habilitação (Atividade 2).</w:t>
      </w:r>
    </w:p>
    <w:p w:rsidRPr="000D181F" w:rsidR="000D181F" w:rsidP="216B163B" w:rsidRDefault="009560EB" w14:paraId="28E4124B" w14:textId="3C142D75">
      <w:pPr>
        <w:jc w:val="both"/>
        <w:rPr>
          <w:rFonts w:ascii="Garamond" w:hAnsi="Garamond"/>
          <w:noProof w:val="0"/>
          <w:lang w:val="pt-BR"/>
        </w:rPr>
      </w:pPr>
      <w:r w:rsidRPr="216B163B" w:rsidR="696F26AD">
        <w:rPr>
          <w:rFonts w:ascii="Garamond" w:hAnsi="Garamond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>Ressalta-se que o Termo de Referência prevê expressamente a dependência do fluxo de homologação em relação à Centralizadora (CAIXA), não podendo eventuais atrasos ou inconsistências nesse processo ser imputados à contratada.</w:t>
      </w:r>
    </w:p>
    <w:p w:rsidRPr="000D181F" w:rsidR="000D181F" w:rsidP="216B163B" w:rsidRDefault="009560EB" w14:paraId="634476FD" w14:textId="4C70FBE5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16B163B" w:rsidR="696F26AD">
        <w:rPr>
          <w:rFonts w:ascii="Garamond" w:hAnsi="Garamond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>Dessa forma, a homologação não constitui condição para o faturamento da parcela fixa, o qual será devido desde que comprovada a execução dos serviços e atingidas as metas estabelecidas.</w:t>
      </w:r>
    </w:p>
    <w:p w:rsidRPr="000D181F" w:rsidR="000D181F" w:rsidP="216B163B" w:rsidRDefault="009560EB" w14:paraId="3CC4C693" w14:textId="0127FDCB">
      <w:pPr>
        <w:pStyle w:val="Normal"/>
        <w:rPr>
          <w:rFonts w:ascii="Garamond" w:hAnsi="Garamond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</w:pPr>
      <w:r w:rsidRPr="216B163B" w:rsidR="696F26AD">
        <w:rPr>
          <w:rFonts w:ascii="Garamond" w:hAnsi="Garamond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>P</w:t>
      </w:r>
      <w:r w:rsidRPr="216B163B" w:rsidR="696F26AD">
        <w:rPr>
          <w:rFonts w:ascii="Garamond" w:hAnsi="Garamond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 xml:space="preserve">or fim, esclarece-se que a </w:t>
      </w:r>
      <w:r w:rsidRPr="216B163B" w:rsidR="696F26AD">
        <w:rPr>
          <w:rFonts w:ascii="Garamond" w:hAnsi="Garamond" w:eastAsia="Calibri" w:cs="" w:asciiTheme="minorAscii" w:hAnsiTheme="minorAscii" w:eastAsiaTheme="minorAscii" w:cstheme="minorBidi"/>
          <w:b w:val="1"/>
          <w:bCs w:val="1"/>
          <w:noProof w:val="0"/>
          <w:color w:val="auto"/>
          <w:sz w:val="22"/>
          <w:szCs w:val="22"/>
          <w:lang w:val="pt-BR" w:eastAsia="en-US" w:bidi="ar-SA"/>
        </w:rPr>
        <w:t>parcela variável</w:t>
      </w:r>
      <w:r w:rsidRPr="216B163B" w:rsidR="696F26AD">
        <w:rPr>
          <w:rFonts w:ascii="Garamond" w:hAnsi="Garamond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 xml:space="preserve"> (ad </w:t>
      </w:r>
      <w:r w:rsidRPr="216B163B" w:rsidR="696F26AD">
        <w:rPr>
          <w:rFonts w:ascii="Garamond" w:hAnsi="Garamond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>exitum</w:t>
      </w:r>
      <w:r w:rsidRPr="216B163B" w:rsidR="696F26AD">
        <w:rPr>
          <w:rFonts w:ascii="Garamond" w:hAnsi="Garamond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>)</w:t>
      </w:r>
      <w:r w:rsidRPr="216B163B" w:rsidR="696F26AD">
        <w:rPr>
          <w:rFonts w:ascii="Garamond" w:hAnsi="Garamond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 xml:space="preserve"> permanece condicionada </w:t>
      </w:r>
      <w:r w:rsidRPr="216B163B" w:rsidR="696F26AD">
        <w:rPr>
          <w:rFonts w:ascii="Garamond" w:hAnsi="Garamond" w:eastAsia="Calibri" w:cs="" w:asciiTheme="minorAscii" w:hAnsiTheme="minorAscii" w:eastAsiaTheme="minorAscii" w:cstheme="minorBidi"/>
          <w:b w:val="1"/>
          <w:bCs w:val="1"/>
          <w:noProof w:val="0"/>
          <w:color w:val="auto"/>
          <w:sz w:val="22"/>
          <w:szCs w:val="22"/>
          <w:lang w:val="pt-BR" w:eastAsia="en-US" w:bidi="ar-SA"/>
        </w:rPr>
        <w:t>ao êxito da operação</w:t>
      </w:r>
      <w:r w:rsidRPr="216B163B" w:rsidR="696F26AD">
        <w:rPr>
          <w:rFonts w:ascii="Garamond" w:hAnsi="Garamond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>, sendo devida exclusivamente após o efetivo ingresso dos recursos</w:t>
      </w:r>
    </w:p>
    <w:p w:rsidRPr="00DA64E0" w:rsidR="009560EB" w:rsidP="009560EB" w:rsidRDefault="009560EB" w14:paraId="52F80BEF" w14:textId="77777777">
      <w:pPr>
        <w:jc w:val="both"/>
        <w:rPr>
          <w:rFonts w:ascii="Garamond" w:hAnsi="Garamond"/>
        </w:rPr>
      </w:pPr>
      <w:r w:rsidRPr="00DA64E0">
        <w:rPr>
          <w:rFonts w:ascii="Garamond" w:hAnsi="Garamond"/>
        </w:rPr>
        <w:t xml:space="preserve">2. </w:t>
      </w:r>
      <w:r w:rsidRPr="000D181F" w:rsidR="000D181F">
        <w:rPr>
          <w:rFonts w:ascii="Garamond" w:hAnsi="Garamond"/>
        </w:rPr>
        <w:t xml:space="preserve"> </w:t>
      </w:r>
      <w:r w:rsidRPr="00DA64E0">
        <w:rPr>
          <w:rFonts w:ascii="Garamond" w:hAnsi="Garamond"/>
          <w:b/>
          <w:bCs/>
          <w:i/>
          <w:iCs/>
        </w:rPr>
        <w:t>Em relação ao item 8.46 do Termo de Referência: “Deve ser emitido pela contratada um atestado de Visita Técnica...” Considerando que o Edital não estabelece prazo, forma ou obrigatoriedade expressa para realização da visita técnica, questiona-se: É correto o entendimento de que a proponente poderá declarar ciência e aceitação integral das condições do Edital, independentemente da realização da visita técnica?</w:t>
      </w:r>
      <w:r w:rsidRPr="00DA64E0">
        <w:rPr>
          <w:rFonts w:ascii="Garamond" w:hAnsi="Garamond"/>
        </w:rPr>
        <w:t xml:space="preserve"> </w:t>
      </w:r>
    </w:p>
    <w:p w:rsidRPr="00DA64E0" w:rsidR="000D181F" w:rsidP="009560EB" w:rsidRDefault="009560EB" w14:paraId="2EDCAAC7" w14:textId="74A2C7BE">
      <w:pPr>
        <w:jc w:val="both"/>
        <w:rPr>
          <w:rFonts w:ascii="Garamond" w:hAnsi="Garamond"/>
        </w:rPr>
      </w:pPr>
      <w:r w:rsidRPr="216B163B" w:rsidR="009560EB">
        <w:rPr>
          <w:rFonts w:ascii="Garamond" w:hAnsi="Garamond"/>
        </w:rPr>
        <w:t>Resposta</w:t>
      </w:r>
      <w:r w:rsidRPr="216B163B" w:rsidR="000D181F">
        <w:rPr>
          <w:rFonts w:ascii="Garamond" w:hAnsi="Garamond"/>
        </w:rPr>
        <w:t xml:space="preserve">: </w:t>
      </w:r>
      <w:r w:rsidRPr="216B163B" w:rsidR="11E60D60">
        <w:rPr>
          <w:rFonts w:ascii="Garamond" w:hAnsi="Garamond"/>
        </w:rPr>
        <w:t xml:space="preserve">Sim está correto. </w:t>
      </w:r>
      <w:r w:rsidRPr="216B163B" w:rsidR="000D181F">
        <w:rPr>
          <w:rFonts w:ascii="Garamond" w:hAnsi="Garamond"/>
        </w:rPr>
        <w:t xml:space="preserve">O item </w:t>
      </w:r>
      <w:r w:rsidRPr="216B163B" w:rsidR="000D181F">
        <w:rPr>
          <w:rFonts w:ascii="Garamond" w:hAnsi="Garamond"/>
          <w:b w:val="1"/>
          <w:bCs w:val="1"/>
        </w:rPr>
        <w:t>8.28</w:t>
      </w:r>
      <w:r w:rsidRPr="216B163B" w:rsidR="000D181F">
        <w:rPr>
          <w:rFonts w:ascii="Garamond" w:hAnsi="Garamond"/>
        </w:rPr>
        <w:t xml:space="preserve"> do Termo de Referência exige uma declaração de conhecimento das condições locais. No entanto, o item </w:t>
      </w:r>
      <w:r w:rsidRPr="216B163B" w:rsidR="000D181F">
        <w:rPr>
          <w:rFonts w:ascii="Garamond" w:hAnsi="Garamond"/>
          <w:b w:val="1"/>
          <w:bCs w:val="1"/>
        </w:rPr>
        <w:t>8.29</w:t>
      </w:r>
      <w:r w:rsidRPr="216B163B" w:rsidR="000D181F">
        <w:rPr>
          <w:rFonts w:ascii="Garamond" w:hAnsi="Garamond"/>
        </w:rPr>
        <w:t xml:space="preserve"> estabelece explicitamente que essa declaração </w:t>
      </w:r>
      <w:r w:rsidRPr="216B163B" w:rsidR="000D181F">
        <w:rPr>
          <w:rFonts w:ascii="Garamond" w:hAnsi="Garamond"/>
          <w:b w:val="1"/>
          <w:bCs w:val="1"/>
        </w:rPr>
        <w:t>"</w:t>
      </w:r>
      <w:r w:rsidRPr="216B163B" w:rsidR="000D181F">
        <w:rPr>
          <w:rFonts w:ascii="Garamond" w:hAnsi="Garamond"/>
          <w:b w:val="1"/>
          <w:bCs w:val="1"/>
          <w:i w:val="1"/>
          <w:iCs w:val="1"/>
        </w:rPr>
        <w:t>poderá ser substituída por declaração formal assinada pelo responsável técnico do licitante acerca do conhecimento pleno das condições e peculiaridades da contratação"</w:t>
      </w:r>
      <w:r w:rsidRPr="216B163B" w:rsidR="000D181F">
        <w:rPr>
          <w:rFonts w:ascii="Garamond" w:hAnsi="Garamond"/>
        </w:rPr>
        <w:t>.</w:t>
      </w:r>
      <w:r w:rsidRPr="216B163B" w:rsidR="000D181F">
        <w:rPr>
          <w:rFonts w:ascii="Garamond" w:hAnsi="Garamond"/>
        </w:rPr>
        <w:t xml:space="preserve"> </w:t>
      </w:r>
      <w:r w:rsidRPr="216B163B" w:rsidR="000D181F">
        <w:rPr>
          <w:rFonts w:ascii="Garamond" w:hAnsi="Garamond"/>
        </w:rPr>
        <w:t xml:space="preserve">Como essa previsão já consta no </w:t>
      </w:r>
      <w:r w:rsidRPr="216B163B" w:rsidR="00DA64E0">
        <w:rPr>
          <w:rFonts w:ascii="Garamond" w:hAnsi="Garamond"/>
        </w:rPr>
        <w:t>Termo de Referência dentro do Edital</w:t>
      </w:r>
      <w:r w:rsidRPr="216B163B" w:rsidR="000D181F">
        <w:rPr>
          <w:rFonts w:ascii="Garamond" w:hAnsi="Garamond"/>
        </w:rPr>
        <w:t xml:space="preserve"> a aceitação da declaração assinada pelo responsável técnico não configura alteração das regras do certame, mas apenas o cumprimento de uma alternativa já prevista</w:t>
      </w:r>
      <w:r w:rsidRPr="216B163B" w:rsidR="000D181F">
        <w:rPr>
          <w:rFonts w:ascii="Garamond" w:hAnsi="Garamond"/>
        </w:rPr>
        <w:t xml:space="preserve">. </w:t>
      </w:r>
      <w:r w:rsidRPr="216B163B" w:rsidR="000D181F">
        <w:rPr>
          <w:rFonts w:ascii="Garamond" w:hAnsi="Garamond"/>
        </w:rPr>
        <w:t>O atestado mencionado no item 8.47 deve ser entendido em conjunto com a permissão do item 8.29.</w:t>
      </w:r>
    </w:p>
    <w:p w:rsidRPr="000D181F" w:rsidR="000D181F" w:rsidP="00DA64E0" w:rsidRDefault="00DA64E0" w14:paraId="629052DB" w14:textId="6DD01A87">
      <w:pPr>
        <w:jc w:val="both"/>
        <w:rPr>
          <w:rFonts w:ascii="Garamond" w:hAnsi="Garamond"/>
          <w:b/>
          <w:bCs/>
        </w:rPr>
      </w:pPr>
      <w:r w:rsidRPr="00DA64E0">
        <w:rPr>
          <w:rFonts w:ascii="Garamond" w:hAnsi="Garamond"/>
          <w:b/>
          <w:bCs/>
        </w:rPr>
        <w:t>3.</w:t>
      </w:r>
      <w:r w:rsidRPr="000D181F" w:rsidR="000D181F">
        <w:rPr>
          <w:rFonts w:ascii="Garamond" w:hAnsi="Garamond"/>
          <w:b/>
          <w:bCs/>
        </w:rPr>
        <w:t xml:space="preserve"> </w:t>
      </w:r>
      <w:r w:rsidRPr="00DA64E0">
        <w:rPr>
          <w:rFonts w:ascii="Garamond" w:hAnsi="Garamond"/>
          <w:b/>
          <w:bCs/>
          <w:i/>
          <w:iCs/>
        </w:rPr>
        <w:t>Considerando que o Edital trata da contratação de serviços de habilitação/novação de créditos imobiliários vinculados ao SFH, com cobertura do FCVS — abrangendo as etapas de análise documental e de habilitação/novação dos créditos junto ao FCVS —, caracterizando-se como serviços específicos de consultoria e assessoria. É correto o entendimento de que a exigência de profissionais das áreas de Contabilidade e/ou Direito não se aplica ao presente Edital?</w:t>
      </w:r>
      <w:r w:rsidRPr="00DA64E0">
        <w:rPr>
          <w:rFonts w:ascii="Garamond" w:hAnsi="Garamond"/>
          <w:b/>
          <w:bCs/>
        </w:rPr>
        <w:t xml:space="preserve"> </w:t>
      </w:r>
    </w:p>
    <w:p w:rsidRPr="000D181F" w:rsidR="000D181F" w:rsidP="00DA64E0" w:rsidRDefault="000D181F" w14:paraId="63C98F5E" w14:textId="0207C6B6">
      <w:pPr>
        <w:jc w:val="both"/>
        <w:rPr>
          <w:rFonts w:ascii="Garamond" w:hAnsi="Garamond"/>
        </w:rPr>
      </w:pPr>
      <w:r w:rsidRPr="216B163B" w:rsidR="428CF588">
        <w:rPr>
          <w:rFonts w:ascii="Garamond" w:hAnsi="Garamond"/>
        </w:rPr>
        <w:t>Nã</w:t>
      </w:r>
      <w:r w:rsidRPr="216B163B" w:rsidR="5D5E4228">
        <w:rPr>
          <w:rFonts w:ascii="Garamond" w:hAnsi="Garamond"/>
        </w:rPr>
        <w:t xml:space="preserve">o está correto. Se aplica ao presente Edital. </w:t>
      </w:r>
      <w:r w:rsidRPr="216B163B" w:rsidR="000D181F">
        <w:rPr>
          <w:rFonts w:ascii="Garamond" w:hAnsi="Garamond"/>
        </w:rPr>
        <w:t>O objeto envolve a "habilitação e novação de créditos imobiliários", que demanda análise contábil e jurídica rigorosa.</w:t>
      </w:r>
    </w:p>
    <w:p w:rsidRPr="000D181F" w:rsidR="000D181F" w:rsidP="00DA64E0" w:rsidRDefault="000D181F" w14:paraId="468DE875" w14:textId="77777777">
      <w:pPr>
        <w:jc w:val="both"/>
        <w:rPr>
          <w:rFonts w:ascii="Garamond" w:hAnsi="Garamond"/>
        </w:rPr>
      </w:pPr>
      <w:r w:rsidRPr="000D181F">
        <w:rPr>
          <w:rFonts w:ascii="Garamond" w:hAnsi="Garamond"/>
        </w:rPr>
        <w:t xml:space="preserve">O item </w:t>
      </w:r>
      <w:r w:rsidRPr="000D181F">
        <w:rPr>
          <w:rFonts w:ascii="Garamond" w:hAnsi="Garamond"/>
          <w:b/>
          <w:bCs/>
        </w:rPr>
        <w:t>8.33</w:t>
      </w:r>
      <w:r w:rsidRPr="000D181F">
        <w:rPr>
          <w:rFonts w:ascii="Garamond" w:hAnsi="Garamond"/>
        </w:rPr>
        <w:t xml:space="preserve"> exige a apresentação de profissionais registrados nos conselhos competentes para serviços </w:t>
      </w:r>
      <w:r w:rsidRPr="000D181F">
        <w:rPr>
          <w:rFonts w:ascii="Garamond" w:hAnsi="Garamond"/>
          <w:b/>
          <w:bCs/>
        </w:rPr>
        <w:t>contábeis</w:t>
      </w:r>
      <w:r w:rsidRPr="000D181F">
        <w:rPr>
          <w:rFonts w:ascii="Garamond" w:hAnsi="Garamond"/>
        </w:rPr>
        <w:t xml:space="preserve"> (8.33.1) e </w:t>
      </w:r>
      <w:r w:rsidRPr="000D181F">
        <w:rPr>
          <w:rFonts w:ascii="Garamond" w:hAnsi="Garamond"/>
          <w:b/>
          <w:bCs/>
        </w:rPr>
        <w:t>jurídicos</w:t>
      </w:r>
      <w:r w:rsidRPr="000D181F">
        <w:rPr>
          <w:rFonts w:ascii="Garamond" w:hAnsi="Garamond"/>
        </w:rPr>
        <w:t xml:space="preserve"> (8.33.2) aplicados ao SFH/FCVS.</w:t>
      </w:r>
    </w:p>
    <w:p w:rsidRPr="000D181F" w:rsidR="000D181F" w:rsidP="00DA64E0" w:rsidRDefault="000D181F" w14:paraId="4D1BAC24" w14:textId="77777777">
      <w:pPr>
        <w:jc w:val="both"/>
        <w:rPr>
          <w:rFonts w:ascii="Garamond" w:hAnsi="Garamond"/>
        </w:rPr>
      </w:pPr>
      <w:r w:rsidRPr="000D181F">
        <w:rPr>
          <w:rFonts w:ascii="Garamond" w:hAnsi="Garamond"/>
        </w:rPr>
        <w:t xml:space="preserve">Além disso, os itens </w:t>
      </w:r>
      <w:r w:rsidRPr="000D181F">
        <w:rPr>
          <w:rFonts w:ascii="Garamond" w:hAnsi="Garamond"/>
          <w:b/>
          <w:bCs/>
        </w:rPr>
        <w:t>8.40 e 8.42</w:t>
      </w:r>
      <w:r w:rsidRPr="000D181F">
        <w:rPr>
          <w:rFonts w:ascii="Garamond" w:hAnsi="Garamond"/>
        </w:rPr>
        <w:t xml:space="preserve"> exigem que a empresa possua registro no </w:t>
      </w:r>
      <w:r w:rsidRPr="000D181F">
        <w:rPr>
          <w:rFonts w:ascii="Garamond" w:hAnsi="Garamond"/>
          <w:b/>
          <w:bCs/>
        </w:rPr>
        <w:t>CRA (Conselho Regional de Administração)</w:t>
      </w:r>
      <w:r w:rsidRPr="000D181F">
        <w:rPr>
          <w:rFonts w:ascii="Garamond" w:hAnsi="Garamond"/>
        </w:rPr>
        <w:t xml:space="preserve"> e responsável técnico devidamente habilitado por este conselho.</w:t>
      </w:r>
    </w:p>
    <w:p w:rsidRPr="000D181F" w:rsidR="000D181F" w:rsidP="00DA64E0" w:rsidRDefault="000D181F" w14:paraId="043E84DC" w14:textId="77777777">
      <w:pPr>
        <w:jc w:val="both"/>
        <w:rPr>
          <w:rFonts w:ascii="Garamond" w:hAnsi="Garamond"/>
        </w:rPr>
      </w:pPr>
      <w:r w:rsidRPr="000D181F">
        <w:rPr>
          <w:rFonts w:ascii="Garamond" w:hAnsi="Garamond"/>
        </w:rPr>
        <w:t xml:space="preserve">A exigência de profissionais com registro em conselhos de classe para a execução dos serviços objeto deste edital está fundamentada, principalmente, na </w:t>
      </w:r>
      <w:r w:rsidRPr="000D181F">
        <w:rPr>
          <w:rFonts w:ascii="Garamond" w:hAnsi="Garamond"/>
          <w:b/>
          <w:bCs/>
        </w:rPr>
        <w:t>Lei nº 14.133/2021</w:t>
      </w:r>
      <w:r w:rsidRPr="000D181F">
        <w:rPr>
          <w:rFonts w:ascii="Garamond" w:hAnsi="Garamond"/>
        </w:rPr>
        <w:t xml:space="preserve"> (Nova Lei de Licitações), além de legislações específicas de cada profissão.</w:t>
      </w:r>
    </w:p>
    <w:p w:rsidRPr="000D181F" w:rsidR="00DA64E0" w:rsidP="00DA64E0" w:rsidRDefault="00DA64E0" w14:paraId="34EB8A35" w14:textId="77777777">
      <w:pPr>
        <w:jc w:val="both"/>
        <w:rPr>
          <w:rFonts w:ascii="Garamond" w:hAnsi="Garamond"/>
        </w:rPr>
      </w:pPr>
      <w:r w:rsidRPr="000D181F">
        <w:rPr>
          <w:rFonts w:ascii="Garamond" w:hAnsi="Garamond"/>
        </w:rPr>
        <w:t>Esclarecemos que, conforme o item 8.29 do Termo de Referência, a comprovação do conhecimento das condições dos serviços pode ser feita mediante declaração assinada pelo responsável técnico, o que dispensa a necessidade de visita presencial obrigatória e mantém o cronograma original do certame. Quanto à qualificação profissional, as exigências de registro em conselhos de classe (CRC, OAB e CRA) são mantidas, pois derivam da natureza técnica e especializada do objeto e do cumprimento das normas legais que regem o exercício dessas profissões."</w:t>
      </w:r>
    </w:p>
    <w:p w:rsidRPr="00DA64E0" w:rsidR="00DA64E0" w:rsidP="000D181F" w:rsidRDefault="00DA64E0" w14:paraId="477A2BB5" w14:textId="77777777"/>
    <w:p w:rsidRPr="000D181F" w:rsidR="000D181F" w:rsidP="000D181F" w:rsidRDefault="000D181F" w14:paraId="08C5C63E" w14:textId="162EAC64"/>
    <w:p w:rsidR="001516EE" w:rsidRDefault="001516EE" w14:paraId="42580CBA" w14:textId="77777777"/>
    <w:sectPr w:rsidR="001516EE">
      <w:headerReference w:type="default" r:id="rId7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146A" w:rsidP="00AB3506" w:rsidRDefault="00F0146A" w14:paraId="252F9182" w14:textId="77777777">
      <w:pPr>
        <w:spacing w:after="0" w:line="240" w:lineRule="auto"/>
      </w:pPr>
      <w:r>
        <w:separator/>
      </w:r>
    </w:p>
  </w:endnote>
  <w:endnote w:type="continuationSeparator" w:id="0">
    <w:p w:rsidR="00F0146A" w:rsidP="00AB3506" w:rsidRDefault="00F0146A" w14:paraId="3E935D3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146A" w:rsidP="00AB3506" w:rsidRDefault="00F0146A" w14:paraId="51539C21" w14:textId="77777777">
      <w:pPr>
        <w:spacing w:after="0" w:line="240" w:lineRule="auto"/>
      </w:pPr>
      <w:r>
        <w:separator/>
      </w:r>
    </w:p>
  </w:footnote>
  <w:footnote w:type="continuationSeparator" w:id="0">
    <w:p w:rsidR="00F0146A" w:rsidP="00AB3506" w:rsidRDefault="00F0146A" w14:paraId="0CA27CA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B3506" w:rsidRDefault="00AB3506" w14:paraId="2CE2E62F" w14:textId="1B15C70E">
    <w:pPr>
      <w:pStyle w:val="Cabealho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3D87183F" wp14:editId="78CDA970">
          <wp:simplePos x="0" y="0"/>
          <wp:positionH relativeFrom="page">
            <wp:posOffset>2981739</wp:posOffset>
          </wp:positionH>
          <wp:positionV relativeFrom="page">
            <wp:posOffset>477078</wp:posOffset>
          </wp:positionV>
          <wp:extent cx="1852654" cy="610595"/>
          <wp:effectExtent l="0" t="0" r="0" b="0"/>
          <wp:wrapNone/>
          <wp:docPr id="12102210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5555" cy="6247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B3506" w:rsidRDefault="00AB3506" w14:paraId="3D707822" w14:textId="77777777">
    <w:pPr>
      <w:pStyle w:val="Cabealho"/>
    </w:pPr>
  </w:p>
  <w:p w:rsidR="00AB3506" w:rsidRDefault="00AB3506" w14:paraId="68E4060A" w14:textId="77777777">
    <w:pPr>
      <w:pStyle w:val="Cabealho"/>
    </w:pPr>
  </w:p>
  <w:p w:rsidR="00AB3506" w:rsidRDefault="00AB3506" w14:paraId="40BF5F13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E5112"/>
    <w:multiLevelType w:val="multilevel"/>
    <w:tmpl w:val="BC92D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68D4D67"/>
    <w:multiLevelType w:val="multilevel"/>
    <w:tmpl w:val="4652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58E0149"/>
    <w:multiLevelType w:val="multilevel"/>
    <w:tmpl w:val="04E65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F3215A8"/>
    <w:multiLevelType w:val="multilevel"/>
    <w:tmpl w:val="0FEE7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40FC3E7D"/>
    <w:multiLevelType w:val="multilevel"/>
    <w:tmpl w:val="15BE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7A461B08"/>
    <w:multiLevelType w:val="multilevel"/>
    <w:tmpl w:val="6EAE8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956790716">
    <w:abstractNumId w:val="4"/>
  </w:num>
  <w:num w:numId="2" w16cid:durableId="1111976015">
    <w:abstractNumId w:val="0"/>
  </w:num>
  <w:num w:numId="3" w16cid:durableId="1805076193">
    <w:abstractNumId w:val="5"/>
  </w:num>
  <w:num w:numId="4" w16cid:durableId="328795446">
    <w:abstractNumId w:val="1"/>
  </w:num>
  <w:num w:numId="5" w16cid:durableId="889683437">
    <w:abstractNumId w:val="2"/>
  </w:num>
  <w:num w:numId="6" w16cid:durableId="1152065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1F"/>
    <w:rsid w:val="000158F7"/>
    <w:rsid w:val="000D181F"/>
    <w:rsid w:val="00131B2D"/>
    <w:rsid w:val="001516EE"/>
    <w:rsid w:val="00440498"/>
    <w:rsid w:val="008714F5"/>
    <w:rsid w:val="009560EB"/>
    <w:rsid w:val="00AB3506"/>
    <w:rsid w:val="00DA64E0"/>
    <w:rsid w:val="00F0146A"/>
    <w:rsid w:val="00FF5C81"/>
    <w:rsid w:val="04712D2D"/>
    <w:rsid w:val="09616C0B"/>
    <w:rsid w:val="11CB79C0"/>
    <w:rsid w:val="11E60D60"/>
    <w:rsid w:val="161AFF16"/>
    <w:rsid w:val="21001467"/>
    <w:rsid w:val="216B163B"/>
    <w:rsid w:val="417B656F"/>
    <w:rsid w:val="428CF588"/>
    <w:rsid w:val="5D5E4228"/>
    <w:rsid w:val="696F26AD"/>
    <w:rsid w:val="6AB6AB1D"/>
    <w:rsid w:val="6D71F120"/>
    <w:rsid w:val="6DF9245F"/>
    <w:rsid w:val="76C81CD6"/>
    <w:rsid w:val="76E2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210AA"/>
  <w15:chartTrackingRefBased/>
  <w15:docId w15:val="{05602AC9-1BF6-42A1-BE23-09315278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181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D181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18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D18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D18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D18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D18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18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D18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0D181F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0D181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0D181F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0D181F"/>
    <w:rPr>
      <w:rFonts w:eastAsiaTheme="majorEastAsia" w:cstheme="majorBidi"/>
      <w:i/>
      <w:iCs/>
      <w:color w:val="2F5496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0D181F"/>
    <w:rPr>
      <w:rFonts w:eastAsiaTheme="majorEastAsia" w:cstheme="majorBidi"/>
      <w:color w:val="2F5496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0D181F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0D181F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0D181F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0D18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D181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0D181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D18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0D1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D181F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0D181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D181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D181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D181F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0D181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D181F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B350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B3506"/>
  </w:style>
  <w:style w:type="paragraph" w:styleId="Rodap">
    <w:name w:val="footer"/>
    <w:basedOn w:val="Normal"/>
    <w:link w:val="RodapChar"/>
    <w:uiPriority w:val="99"/>
    <w:unhideWhenUsed/>
    <w:rsid w:val="00AB350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B3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Fabiana Rangel Rodrigues Barthasson</dc:creator>
  <keywords/>
  <dc:description/>
  <lastModifiedBy>Fabiana Rangel Rodrigues Barthasson</lastModifiedBy>
  <revision>2</revision>
  <lastPrinted>2026-03-24T17:34:00.0000000Z</lastPrinted>
  <dcterms:created xsi:type="dcterms:W3CDTF">2026-03-24T16:54:00.0000000Z</dcterms:created>
  <dcterms:modified xsi:type="dcterms:W3CDTF">2026-03-25T13:54:36.2742500Z</dcterms:modified>
</coreProperties>
</file>